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F9" w:rsidRDefault="00966FEC">
      <w:pPr>
        <w:rPr>
          <w:b/>
        </w:rPr>
      </w:pPr>
      <w:r w:rsidRPr="00966FEC">
        <w:rPr>
          <w:b/>
        </w:rPr>
        <w:t>NBDC Stakeholder Forum and National Platform Meeting</w:t>
      </w:r>
    </w:p>
    <w:p w:rsidR="00966FEC" w:rsidRPr="00966FEC" w:rsidRDefault="00CE76F9">
      <w:pPr>
        <w:rPr>
          <w:b/>
        </w:rPr>
      </w:pPr>
      <w:r>
        <w:rPr>
          <w:b/>
        </w:rPr>
        <w:t>Template to be completed through the Meeting and beyond</w:t>
      </w:r>
    </w:p>
    <w:p w:rsidR="00966FEC" w:rsidRDefault="00966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2977"/>
        <w:gridCol w:w="2977"/>
        <w:gridCol w:w="3402"/>
      </w:tblGrid>
      <w:tr w:rsidR="00966FEC" w:rsidTr="00057E2D">
        <w:tc>
          <w:tcPr>
            <w:tcW w:w="3510" w:type="dxa"/>
          </w:tcPr>
          <w:p w:rsidR="00DD5BE0" w:rsidRDefault="00966FEC">
            <w:pPr>
              <w:rPr>
                <w:noProof w:val="0"/>
              </w:rPr>
            </w:pPr>
            <w:r>
              <w:rPr>
                <w:noProof w:val="0"/>
              </w:rPr>
              <w:t>Emerging Key messages</w:t>
            </w:r>
          </w:p>
          <w:p w:rsidR="00966FEC" w:rsidRDefault="00DD5BE0">
            <w:pPr>
              <w:rPr>
                <w:noProof w:val="0"/>
              </w:rPr>
            </w:pPr>
            <w:r>
              <w:rPr>
                <w:noProof w:val="0"/>
              </w:rPr>
              <w:t>(including revisions</w:t>
            </w:r>
            <w:r w:rsidR="00495BBA">
              <w:rPr>
                <w:noProof w:val="0"/>
              </w:rPr>
              <w:t>, supporting comments</w:t>
            </w:r>
            <w:r>
              <w:rPr>
                <w:noProof w:val="0"/>
              </w:rPr>
              <w:t>)</w:t>
            </w:r>
          </w:p>
        </w:tc>
        <w:tc>
          <w:tcPr>
            <w:tcW w:w="2977" w:type="dxa"/>
          </w:tcPr>
          <w:p w:rsidR="00966FEC" w:rsidRDefault="00966FEC" w:rsidP="00966FEC">
            <w:pPr>
              <w:rPr>
                <w:noProof w:val="0"/>
              </w:rPr>
            </w:pPr>
            <w:r>
              <w:rPr>
                <w:noProof w:val="0"/>
              </w:rPr>
              <w:t xml:space="preserve">Emerging evidence and examples to support this </w:t>
            </w:r>
            <w:r w:rsidR="00EF05E9">
              <w:rPr>
                <w:noProof w:val="0"/>
              </w:rPr>
              <w:t>– strength of evidence?</w:t>
            </w:r>
          </w:p>
        </w:tc>
        <w:tc>
          <w:tcPr>
            <w:tcW w:w="2977" w:type="dxa"/>
          </w:tcPr>
          <w:p w:rsidR="00966FEC" w:rsidRDefault="00966FEC" w:rsidP="00966FEC">
            <w:pPr>
              <w:rPr>
                <w:noProof w:val="0"/>
              </w:rPr>
            </w:pPr>
            <w:r>
              <w:rPr>
                <w:noProof w:val="0"/>
              </w:rPr>
              <w:t xml:space="preserve">Existing or </w:t>
            </w:r>
            <w:r w:rsidRPr="00DD5BE0">
              <w:rPr>
                <w:i/>
                <w:noProof w:val="0"/>
              </w:rPr>
              <w:t>planned</w:t>
            </w:r>
            <w:r>
              <w:rPr>
                <w:noProof w:val="0"/>
              </w:rPr>
              <w:t xml:space="preserve"> outputs including where/with whom we can find these (maps, reports, studies, theses, journal articles, videos, blogs…)</w:t>
            </w:r>
          </w:p>
        </w:tc>
        <w:tc>
          <w:tcPr>
            <w:tcW w:w="3402" w:type="dxa"/>
          </w:tcPr>
          <w:p w:rsidR="00966FEC" w:rsidRDefault="003B32D9" w:rsidP="00966FEC">
            <w:pPr>
              <w:rPr>
                <w:noProof w:val="0"/>
              </w:rPr>
            </w:pPr>
            <w:r>
              <w:rPr>
                <w:noProof w:val="0"/>
              </w:rPr>
              <w:t>Influencing t</w:t>
            </w:r>
            <w:r w:rsidR="00DD5BE0">
              <w:rPr>
                <w:noProof w:val="0"/>
              </w:rPr>
              <w:t>argets – who we want to get the message to, with whom and how</w:t>
            </w:r>
            <w:r w:rsidR="00495BBA">
              <w:rPr>
                <w:noProof w:val="0"/>
              </w:rPr>
              <w:t xml:space="preserve"> (including </w:t>
            </w:r>
            <w:r w:rsidR="00495BBA" w:rsidRPr="00495BBA">
              <w:rPr>
                <w:i/>
                <w:noProof w:val="0"/>
              </w:rPr>
              <w:t>opportunities</w:t>
            </w:r>
            <w:r w:rsidR="00495BBA">
              <w:rPr>
                <w:noProof w:val="0"/>
              </w:rPr>
              <w:t>)</w:t>
            </w:r>
          </w:p>
        </w:tc>
      </w:tr>
      <w:tr w:rsidR="00495BBA" w:rsidTr="00057E2D">
        <w:tc>
          <w:tcPr>
            <w:tcW w:w="12866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1</w:t>
            </w:r>
            <w:r w:rsidR="00EF05E9">
              <w:rPr>
                <w:noProof w:val="0"/>
              </w:rPr>
              <w:t xml:space="preserve"> Local community leadership</w:t>
            </w: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966FEC" w:rsidTr="00057E2D">
        <w:tc>
          <w:tcPr>
            <w:tcW w:w="12866" w:type="dxa"/>
            <w:gridSpan w:val="4"/>
          </w:tcPr>
          <w:p w:rsidR="00966FEC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2</w:t>
            </w:r>
            <w:r w:rsidR="00EF05E9">
              <w:rPr>
                <w:noProof w:val="0"/>
              </w:rPr>
              <w:t xml:space="preserve"> Integration local and scientific knowledge</w:t>
            </w:r>
          </w:p>
        </w:tc>
      </w:tr>
      <w:tr w:rsidR="00966FEC" w:rsidTr="00057E2D">
        <w:tc>
          <w:tcPr>
            <w:tcW w:w="3510" w:type="dxa"/>
          </w:tcPr>
          <w:p w:rsidR="00C23623" w:rsidRDefault="00C1464B" w:rsidP="00C23623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 w:rsidRPr="009E45CD">
              <w:rPr>
                <w:b/>
                <w:noProof w:val="0"/>
              </w:rPr>
              <w:t>Why distinguish between local and international knowledge?</w:t>
            </w:r>
            <w:r w:rsidR="005A0E0C">
              <w:rPr>
                <w:noProof w:val="0"/>
              </w:rPr>
              <w:t xml:space="preserve"> Could be helpful though in terms of widening the scope.</w:t>
            </w:r>
            <w:r w:rsidR="00C35423">
              <w:rPr>
                <w:noProof w:val="0"/>
              </w:rPr>
              <w:t xml:space="preserve"> General agreement to leave out the distinction.</w:t>
            </w:r>
          </w:p>
          <w:p w:rsidR="00C23623" w:rsidRDefault="00C1464B" w:rsidP="00C23623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>It’s not just about knowledge but also practices.</w:t>
            </w:r>
          </w:p>
          <w:p w:rsidR="00C23623" w:rsidRDefault="00C1464B" w:rsidP="00C23623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>Existing practices sometimes need to be adapted by local communities to local conditions.</w:t>
            </w:r>
            <w:r w:rsidR="00C23623">
              <w:rPr>
                <w:noProof w:val="0"/>
              </w:rPr>
              <w:t xml:space="preserve"> E.g. terraces in </w:t>
            </w:r>
            <w:proofErr w:type="spellStart"/>
            <w:r w:rsidR="00C23623">
              <w:rPr>
                <w:noProof w:val="0"/>
              </w:rPr>
              <w:t>Konso</w:t>
            </w:r>
            <w:proofErr w:type="spellEnd"/>
            <w:r w:rsidR="00C23623">
              <w:rPr>
                <w:noProof w:val="0"/>
              </w:rPr>
              <w:t xml:space="preserve"> could be improved with scientific knowledge.</w:t>
            </w:r>
          </w:p>
          <w:p w:rsidR="00C1464B" w:rsidRDefault="00C1464B" w:rsidP="00C23623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 xml:space="preserve">Policy issues around getting away from imposition of single technologies toward </w:t>
            </w:r>
            <w:r>
              <w:rPr>
                <w:noProof w:val="0"/>
              </w:rPr>
              <w:lastRenderedPageBreak/>
              <w:t>providing a menu of options as standard practice.</w:t>
            </w:r>
          </w:p>
          <w:p w:rsidR="00C23623" w:rsidRDefault="00C23623" w:rsidP="00C23623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>Do we upgrade local knowledge with scientific knowledge or adapt scientific knowledge with local understanding?</w:t>
            </w:r>
          </w:p>
          <w:p w:rsidR="00C23623" w:rsidRDefault="00C23623" w:rsidP="00C23623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>Sometimes local solutions are insufficient – bringing in externally developed technologies can help.</w:t>
            </w:r>
          </w:p>
          <w:p w:rsidR="005A0E0C" w:rsidRDefault="005A0E0C" w:rsidP="00C23623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 w:rsidRPr="009E45CD">
              <w:rPr>
                <w:b/>
                <w:noProof w:val="0"/>
              </w:rPr>
              <w:t>Participants were generally happy with the message – shouldn’t become dogma though.</w:t>
            </w:r>
            <w:r>
              <w:rPr>
                <w:noProof w:val="0"/>
              </w:rPr>
              <w:t xml:space="preserve"> Needs based approach.</w:t>
            </w:r>
            <w:r w:rsidR="00E4022C">
              <w:rPr>
                <w:noProof w:val="0"/>
              </w:rPr>
              <w:t xml:space="preserve"> Need to be careful of universal recommendations about need to combine local and scientific knowledge.</w:t>
            </w:r>
          </w:p>
          <w:p w:rsidR="005A0E0C" w:rsidRPr="009E45CD" w:rsidRDefault="005A0E0C" w:rsidP="00C23623">
            <w:pPr>
              <w:pStyle w:val="ListParagraph"/>
              <w:numPr>
                <w:ilvl w:val="0"/>
                <w:numId w:val="1"/>
              </w:numPr>
              <w:rPr>
                <w:b/>
                <w:noProof w:val="0"/>
              </w:rPr>
            </w:pPr>
            <w:r w:rsidRPr="009E45CD">
              <w:rPr>
                <w:b/>
                <w:noProof w:val="0"/>
              </w:rPr>
              <w:t>Some problems with the word “imposing”. Maybe emotive – could use the word “promotion” as a less emotive term.</w:t>
            </w:r>
          </w:p>
        </w:tc>
        <w:tc>
          <w:tcPr>
            <w:tcW w:w="2977" w:type="dxa"/>
          </w:tcPr>
          <w:p w:rsidR="00966FEC" w:rsidRDefault="00C35423" w:rsidP="00C35423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lastRenderedPageBreak/>
              <w:t>Neither local nor scientific practices alone are sufficient – participants generally agreed. Sometimes local or scientific practices are sufficient on their own.</w:t>
            </w:r>
          </w:p>
          <w:p w:rsidR="00B74212" w:rsidRPr="009E45CD" w:rsidRDefault="00B74212" w:rsidP="00C35423">
            <w:pPr>
              <w:pStyle w:val="ListParagraph"/>
              <w:numPr>
                <w:ilvl w:val="0"/>
                <w:numId w:val="1"/>
              </w:numPr>
              <w:rPr>
                <w:b/>
                <w:noProof w:val="0"/>
              </w:rPr>
            </w:pPr>
            <w:r w:rsidRPr="009E45CD">
              <w:rPr>
                <w:b/>
                <w:noProof w:val="0"/>
              </w:rPr>
              <w:t>Farmers understand their own agro-ecology but may struggle to deal with a rapidly changing environment and may need input from scientists.</w:t>
            </w:r>
          </w:p>
          <w:p w:rsidR="00E4022C" w:rsidRDefault="00E4022C" w:rsidP="00C35423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 xml:space="preserve">Agree with the idea that more impact evaluation of both </w:t>
            </w:r>
            <w:r>
              <w:rPr>
                <w:noProof w:val="0"/>
              </w:rPr>
              <w:lastRenderedPageBreak/>
              <w:t xml:space="preserve">scientific and local practices </w:t>
            </w:r>
            <w:r w:rsidR="007E12DB">
              <w:rPr>
                <w:noProof w:val="0"/>
              </w:rPr>
              <w:t>is</w:t>
            </w:r>
            <w:r>
              <w:rPr>
                <w:noProof w:val="0"/>
              </w:rPr>
              <w:t xml:space="preserve"> needed. Economic cost-benefit analyses need to be considered. Need to be careful about not over-emphasizing yield benefits.</w:t>
            </w:r>
            <w:r w:rsidR="007E12DB">
              <w:rPr>
                <w:noProof w:val="0"/>
              </w:rPr>
              <w:t xml:space="preserve"> Can be broader eco-system benefits but they do now accrue to the farmer. More work on smart incentives is needed. E.g. PES, upstream/downstream benefit sharing. </w:t>
            </w:r>
            <w:proofErr w:type="spellStart"/>
            <w:r w:rsidR="007E12DB">
              <w:rPr>
                <w:noProof w:val="0"/>
              </w:rPr>
              <w:t>E.g</w:t>
            </w:r>
            <w:proofErr w:type="spellEnd"/>
            <w:r w:rsidR="007E12DB">
              <w:rPr>
                <w:noProof w:val="0"/>
              </w:rPr>
              <w:t xml:space="preserve"> hydro schemes paying for practices that reduce sedimentation. </w:t>
            </w:r>
            <w:proofErr w:type="spellStart"/>
            <w:r w:rsidR="007E12DB">
              <w:rPr>
                <w:noProof w:val="0"/>
              </w:rPr>
              <w:t>Govt</w:t>
            </w:r>
            <w:proofErr w:type="spellEnd"/>
            <w:r w:rsidR="007E12DB">
              <w:rPr>
                <w:noProof w:val="0"/>
              </w:rPr>
              <w:t xml:space="preserve"> subsidies related to quality of land management by individual farmers.</w:t>
            </w:r>
          </w:p>
        </w:tc>
        <w:tc>
          <w:tcPr>
            <w:tcW w:w="2977" w:type="dxa"/>
          </w:tcPr>
          <w:p w:rsidR="00966FEC" w:rsidRDefault="0068437F" w:rsidP="00057E2D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lastRenderedPageBreak/>
              <w:t>Two theses available</w:t>
            </w:r>
            <w:r w:rsidR="00057E2D">
              <w:rPr>
                <w:noProof w:val="0"/>
              </w:rPr>
              <w:t xml:space="preserve"> (at least in </w:t>
            </w:r>
            <w:proofErr w:type="spellStart"/>
            <w:r w:rsidR="00057E2D">
              <w:rPr>
                <w:noProof w:val="0"/>
              </w:rPr>
              <w:t>Diga</w:t>
            </w:r>
            <w:proofErr w:type="spellEnd"/>
            <w:r w:rsidR="00057E2D">
              <w:rPr>
                <w:noProof w:val="0"/>
              </w:rPr>
              <w:t xml:space="preserve"> and </w:t>
            </w:r>
            <w:proofErr w:type="spellStart"/>
            <w:r w:rsidR="00057E2D">
              <w:rPr>
                <w:noProof w:val="0"/>
              </w:rPr>
              <w:t>Fogera</w:t>
            </w:r>
            <w:proofErr w:type="spellEnd"/>
            <w:r w:rsidR="00057E2D">
              <w:rPr>
                <w:noProof w:val="0"/>
              </w:rPr>
              <w:t>)</w:t>
            </w:r>
          </w:p>
          <w:p w:rsidR="0068437F" w:rsidRDefault="0068437F" w:rsidP="00057E2D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>AKT (</w:t>
            </w:r>
            <w:proofErr w:type="spellStart"/>
            <w:r>
              <w:rPr>
                <w:noProof w:val="0"/>
              </w:rPr>
              <w:t>Agroecological</w:t>
            </w:r>
            <w:proofErr w:type="spellEnd"/>
            <w:r>
              <w:rPr>
                <w:noProof w:val="0"/>
              </w:rPr>
              <w:t xml:space="preserve"> Knowledge Toolkit) combines </w:t>
            </w:r>
            <w:r w:rsidR="00057E2D">
              <w:rPr>
                <w:noProof w:val="0"/>
              </w:rPr>
              <w:t xml:space="preserve">(analyze and formalize) </w:t>
            </w:r>
            <w:r>
              <w:rPr>
                <w:noProof w:val="0"/>
              </w:rPr>
              <w:t>qualitative farmer knowledge on land managem</w:t>
            </w:r>
            <w:r w:rsidR="00057E2D">
              <w:rPr>
                <w:noProof w:val="0"/>
              </w:rPr>
              <w:t>e</w:t>
            </w:r>
            <w:r>
              <w:rPr>
                <w:noProof w:val="0"/>
              </w:rPr>
              <w:t>nt</w:t>
            </w:r>
            <w:r w:rsidR="00057E2D">
              <w:rPr>
                <w:noProof w:val="0"/>
              </w:rPr>
              <w:t xml:space="preserve">. You can add academic information to the system. You can use the aggregated knowledge with scientific knowledge to make DST for selecting trees. Planned is a tool called </w:t>
            </w:r>
            <w:proofErr w:type="spellStart"/>
            <w:r w:rsidR="00057E2D">
              <w:rPr>
                <w:noProof w:val="0"/>
              </w:rPr>
              <w:t>Polyscape</w:t>
            </w:r>
            <w:proofErr w:type="spellEnd"/>
            <w:r w:rsidR="00057E2D">
              <w:rPr>
                <w:noProof w:val="0"/>
              </w:rPr>
              <w:t xml:space="preserve"> </w:t>
            </w:r>
            <w:r w:rsidR="00057E2D">
              <w:rPr>
                <w:noProof w:val="0"/>
              </w:rPr>
              <w:lastRenderedPageBreak/>
              <w:t>(</w:t>
            </w:r>
            <w:proofErr w:type="spellStart"/>
            <w:r w:rsidR="00057E2D">
              <w:rPr>
                <w:noProof w:val="0"/>
              </w:rPr>
              <w:t>Jeldu</w:t>
            </w:r>
            <w:proofErr w:type="spellEnd"/>
            <w:r w:rsidR="00057E2D">
              <w:rPr>
                <w:noProof w:val="0"/>
              </w:rPr>
              <w:t>) that integrates AKT information / outputs with the in situ data collection.</w:t>
            </w:r>
            <w:r w:rsidR="008621B8">
              <w:rPr>
                <w:noProof w:val="0"/>
              </w:rPr>
              <w:t xml:space="preserve"> (ICRAF)</w:t>
            </w:r>
          </w:p>
          <w:p w:rsidR="00EB5BEC" w:rsidRDefault="00EB5BEC" w:rsidP="00EB5BEC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>Digital Stories and participatory videos</w:t>
            </w:r>
            <w:r w:rsidR="008621B8">
              <w:rPr>
                <w:noProof w:val="0"/>
              </w:rPr>
              <w:t xml:space="preserve"> (ILRI)</w:t>
            </w:r>
          </w:p>
          <w:p w:rsidR="00EB5BEC" w:rsidRDefault="00EB5BEC" w:rsidP="00EB5BEC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 xml:space="preserve">Happy Strategies outputs integrate local knowledge as well as local expert groups for planning interventions; </w:t>
            </w:r>
            <w:r w:rsidRPr="00EB5BEC">
              <w:rPr>
                <w:b/>
                <w:noProof w:val="0"/>
              </w:rPr>
              <w:t>negotiation</w:t>
            </w:r>
            <w:r>
              <w:rPr>
                <w:noProof w:val="0"/>
              </w:rPr>
              <w:t xml:space="preserve"> (people must justify their decisions) among stakeholders for planning the landscape.</w:t>
            </w:r>
            <w:r w:rsidR="008621B8">
              <w:rPr>
                <w:noProof w:val="0"/>
              </w:rPr>
              <w:t xml:space="preserve"> (ILRI/ IWMI)</w:t>
            </w:r>
          </w:p>
          <w:p w:rsidR="00EB5BEC" w:rsidRDefault="00EB5BEC" w:rsidP="00EB5BEC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>Maps</w:t>
            </w:r>
            <w:r w:rsidR="008621B8">
              <w:rPr>
                <w:noProof w:val="0"/>
              </w:rPr>
              <w:t xml:space="preserve"> (ILRI/ IWMI/ICRAF) </w:t>
            </w:r>
          </w:p>
        </w:tc>
        <w:tc>
          <w:tcPr>
            <w:tcW w:w="3402" w:type="dxa"/>
          </w:tcPr>
          <w:p w:rsidR="00E47EBE" w:rsidRDefault="00E47EBE" w:rsidP="00E47EBE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lastRenderedPageBreak/>
              <w:t xml:space="preserve">All actors/ stakeholders </w:t>
            </w:r>
          </w:p>
          <w:p w:rsidR="00966FEC" w:rsidRDefault="00E47EBE" w:rsidP="00E47EBE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>Across administrative structure – planners at national level/ policy makers (need farmers perspectives to inform decision making and recommendations informed by scientific research)</w:t>
            </w:r>
          </w:p>
          <w:p w:rsidR="00E47EBE" w:rsidRDefault="00E47EBE" w:rsidP="00E47EBE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>Researchers (need to collect both to develop the strategies to present back to administrative partners and farmers)</w:t>
            </w:r>
          </w:p>
          <w:p w:rsidR="00E47EBE" w:rsidRDefault="00E47EBE" w:rsidP="00E47EBE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t>Local communities – to bridge knowledge gaps and inform decision making with scientific information</w:t>
            </w:r>
          </w:p>
          <w:p w:rsidR="00E47EBE" w:rsidRDefault="00E47EBE" w:rsidP="00E47EBE">
            <w:pPr>
              <w:pStyle w:val="ListParagraph"/>
              <w:numPr>
                <w:ilvl w:val="0"/>
                <w:numId w:val="1"/>
              </w:numPr>
              <w:rPr>
                <w:noProof w:val="0"/>
              </w:rPr>
            </w:pPr>
            <w:r>
              <w:rPr>
                <w:noProof w:val="0"/>
              </w:rPr>
              <w:lastRenderedPageBreak/>
              <w:t xml:space="preserve">Must be informed by social knowledge (livelihood systems, gender and </w:t>
            </w:r>
            <w:r w:rsidR="00496FCE">
              <w:rPr>
                <w:noProof w:val="0"/>
              </w:rPr>
              <w:t>cultural values</w:t>
            </w:r>
            <w:r>
              <w:rPr>
                <w:noProof w:val="0"/>
              </w:rPr>
              <w:t>)</w:t>
            </w:r>
            <w:r w:rsidR="00496FCE">
              <w:rPr>
                <w:noProof w:val="0"/>
              </w:rPr>
              <w:t xml:space="preserve"> which may create constraints if not addressed. </w:t>
            </w:r>
            <w:bookmarkStart w:id="0" w:name="_GoBack"/>
            <w:bookmarkEnd w:id="0"/>
            <w:r w:rsidR="00496FCE">
              <w:rPr>
                <w:noProof w:val="0"/>
              </w:rPr>
              <w:t xml:space="preserve"> </w:t>
            </w:r>
          </w:p>
        </w:tc>
      </w:tr>
      <w:tr w:rsidR="00EF05E9" w:rsidTr="00057E2D">
        <w:tc>
          <w:tcPr>
            <w:tcW w:w="3510" w:type="dxa"/>
          </w:tcPr>
          <w:p w:rsidR="00EF05E9" w:rsidRDefault="00EF05E9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EF05E9" w:rsidRDefault="00EF05E9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EF05E9" w:rsidRDefault="00EF05E9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EF05E9" w:rsidRDefault="00EF05E9">
            <w:pPr>
              <w:rPr>
                <w:noProof w:val="0"/>
              </w:rPr>
            </w:pPr>
          </w:p>
        </w:tc>
      </w:tr>
      <w:tr w:rsidR="00966FEC" w:rsidTr="00057E2D">
        <w:tc>
          <w:tcPr>
            <w:tcW w:w="3510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966FEC" w:rsidRDefault="00966FEC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12866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3</w:t>
            </w:r>
            <w:r w:rsidR="00EF05E9">
              <w:rPr>
                <w:noProof w:val="0"/>
              </w:rPr>
              <w:t xml:space="preserve"> Facilitation learning processes</w:t>
            </w: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12866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4</w:t>
            </w:r>
            <w:r w:rsidR="00EF05E9">
              <w:rPr>
                <w:noProof w:val="0"/>
              </w:rPr>
              <w:t xml:space="preserve"> Incentives for success</w:t>
            </w: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12866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5</w:t>
            </w:r>
            <w:r w:rsidR="00EF05E9">
              <w:rPr>
                <w:noProof w:val="0"/>
              </w:rPr>
              <w:t xml:space="preserve"> Strengthening human resource capacities</w:t>
            </w: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12866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6</w:t>
            </w:r>
            <w:r w:rsidR="00EF05E9">
              <w:rPr>
                <w:noProof w:val="0"/>
              </w:rPr>
              <w:t xml:space="preserve"> Planning, evaluation and learning tools</w:t>
            </w: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057E2D">
        <w:tc>
          <w:tcPr>
            <w:tcW w:w="351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966FEC" w:rsidTr="00057E2D">
        <w:tc>
          <w:tcPr>
            <w:tcW w:w="3510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2977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3402" w:type="dxa"/>
          </w:tcPr>
          <w:p w:rsidR="00966FEC" w:rsidRDefault="00966FEC">
            <w:pPr>
              <w:rPr>
                <w:noProof w:val="0"/>
              </w:rPr>
            </w:pPr>
          </w:p>
        </w:tc>
      </w:tr>
    </w:tbl>
    <w:p w:rsidR="00966FEC" w:rsidRDefault="00966FEC"/>
    <w:sectPr w:rsidR="00966FEC" w:rsidSect="00966FEC">
      <w:pgSz w:w="16834" w:h="11904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162D2"/>
    <w:multiLevelType w:val="hybridMultilevel"/>
    <w:tmpl w:val="12CC8842"/>
    <w:lvl w:ilvl="0" w:tplc="847CF02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966FEC"/>
    <w:rsid w:val="00057E2D"/>
    <w:rsid w:val="000A6949"/>
    <w:rsid w:val="003B32D9"/>
    <w:rsid w:val="00495BBA"/>
    <w:rsid w:val="00496FCE"/>
    <w:rsid w:val="005A0E0C"/>
    <w:rsid w:val="005E7CF8"/>
    <w:rsid w:val="0068437F"/>
    <w:rsid w:val="007E12DB"/>
    <w:rsid w:val="008621B8"/>
    <w:rsid w:val="008A7091"/>
    <w:rsid w:val="008C539D"/>
    <w:rsid w:val="00966FEC"/>
    <w:rsid w:val="009E45CD"/>
    <w:rsid w:val="00B74212"/>
    <w:rsid w:val="00C1464B"/>
    <w:rsid w:val="00C23623"/>
    <w:rsid w:val="00C35423"/>
    <w:rsid w:val="00C579CB"/>
    <w:rsid w:val="00CB0D6D"/>
    <w:rsid w:val="00CE76F9"/>
    <w:rsid w:val="00DD5BE0"/>
    <w:rsid w:val="00E01876"/>
    <w:rsid w:val="00E4022C"/>
    <w:rsid w:val="00E47EBE"/>
    <w:rsid w:val="00EB5BEC"/>
    <w:rsid w:val="00EF05E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EC"/>
    <w:rPr>
      <w:rFonts w:asciiTheme="majorHAnsi" w:eastAsiaTheme="minorEastAsia" w:hAnsiTheme="majorHAnsi"/>
      <w:noProof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FEC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36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EC"/>
    <w:rPr>
      <w:rFonts w:asciiTheme="majorHAnsi" w:eastAsiaTheme="minorEastAsia" w:hAnsiTheme="majorHAnsi"/>
      <w:noProof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FEC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Harding</dc:creator>
  <cp:lastModifiedBy>Duncan</cp:lastModifiedBy>
  <cp:revision>7</cp:revision>
  <dcterms:created xsi:type="dcterms:W3CDTF">2013-02-20T13:33:00Z</dcterms:created>
  <dcterms:modified xsi:type="dcterms:W3CDTF">2013-02-21T14:06:00Z</dcterms:modified>
</cp:coreProperties>
</file>